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9.png" ContentType="image/png"/>
  <Override PartName="/word/media/rId49.png" ContentType="image/png"/>
  <Override PartName="/word/media/rId44.png" ContentType="image/png"/>
  <Override PartName="/word/media/rId63.png" ContentType="image/png"/>
  <Override PartName="/word/media/rId46.jpg" ContentType="image/jpe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X56a9ecc5cf2e0aa628e078dfedd7747dd2d858c"/>
      <w:r>
        <w:t xml:space="preserve">Abstract (max 350 words) - roman numeral TOC</w:t>
      </w:r>
      <w:bookmarkEnd w:id="20"/>
    </w:p>
    <w:p>
      <w:pPr>
        <w:pStyle w:val="FirstParagraph"/>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1" w:name="X54c98ab769191a1bb69355fb7c873e09a969d75"/>
      <w:r>
        <w:t xml:space="preserve">Lay Summary (max 150 words) - roman numeral TOC</w:t>
      </w:r>
      <w:bookmarkEnd w:id="21"/>
    </w:p>
    <w:p>
      <w:pPr>
        <w:pStyle w:val="FirstParagraph"/>
      </w:pPr>
      <w:r>
        <w:t xml:space="preserve">include plain-language summary</w:t>
      </w:r>
    </w:p>
    <w:p>
      <w:pPr>
        <w:pStyle w:val="Heading1"/>
      </w:pPr>
      <w:bookmarkStart w:id="22" w:name="preface---roman-numeral-toc"/>
      <w:r>
        <w:t xml:space="preserve">Preface - roman numeral TOC</w:t>
      </w:r>
      <w:bookmarkEnd w:id="22"/>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*TOC follows, then LOT, LOF, List of Illustrations, list of abbreviations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people: Tobi Gardner, Annette Constabel, Kathy Haesevoats, Joel Ussery, Ryan Biggs, Patrick McCoubrey, Burn Hemus, Christoph Moch, Jessica Dupuis, and Devon Barnes.</w:t>
      </w:r>
    </w:p>
    <w:p>
      <w:pPr>
        <w:pStyle w:val="BodyText"/>
      </w:pPr>
      <w:r>
        <w:t xml:space="preserve">I’m grateful to have been supported by the entire CRD Field Operations Staff, thanks for making me feel welcome and included on site.</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w:t>
      </w:r>
    </w:p>
    <w:p>
      <w:pPr>
        <w:pStyle w:val="BodyText"/>
      </w:pPr>
      <w:r>
        <w:t xml:space="preserve">For help with field installations and streamflow gauging, a big thanks to my former field partner, Stewart Butler, of Bill Floyd’s Coastal Hydrology Research Lab; thanks Stew. Thanks also to Alison Bishop for field assistance during the winter of 2019/2020.</w:t>
      </w:r>
    </w:p>
    <w:p>
      <w:pPr>
        <w:pStyle w:val="BodyText"/>
      </w:pPr>
      <w:r>
        <w:t xml:space="preserve">Last but certainly not least, thanks to my wonderful friends and family for supporting me in my scientific and academic pursuits. I really appreciate all the love and support, bike rides and beers, proof-reading and encouragement.</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For the love of data science, I am grateful for Jenny Byran’s online resources, StackOverflow (</w:t>
      </w:r>
      <w:hyperlink r:id="rId26">
        <w:r>
          <w:rPr>
            <w:rStyle w:val="Hyperlink"/>
          </w:rPr>
          <w:t xml:space="preserve">http://stackoverflow.com</w:t>
        </w:r>
      </w:hyperlink>
      <w:r>
        <w:t xml:space="preserve">) for the solution to so many coding challenges.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Heading1"/>
      </w:pPr>
      <w:bookmarkStart w:id="27" w:name="introduction"/>
      <w:r>
        <w:t xml:space="preserve">1 Introduction</w:t>
      </w:r>
      <w:bookmarkEnd w:id="27"/>
    </w:p>
    <w:p>
      <w:pPr>
        <w:pStyle w:val="Heading2"/>
      </w:pPr>
      <w:bookmarkStart w:id="28" w:name="X950a60ad65bf96ca879ca6f7ac714147c4499d1"/>
      <w:r>
        <w:t xml:space="preserve">1.1 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Drinking water treatment processes vary from simple chlorination to multiple stages of chemically assisted filtration in combination with advanced oxidative processes. Water treatment protocols differ between communities based on source water quality, infrastructure capabilities, budget, and regional water quality regulations [!!REFS]. All drinking water treatment processes share the same goal: ensure public health by providing a continuous supply of pathogen-free water. Chlorination remains the most widely used method of inactivating potentially harmful microorganisms, whether it stands alone as the primary and sole treatment protocol, or is used in combination with other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When natural source water is chlorinated, chemical reactions with natural organic matter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potential or known health affects (i.e., genotoxicity and possible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w:t>
      </w:r>
      <w:r>
        <w:t xml:space="preserve">.</w:t>
      </w:r>
    </w:p>
    <w:p>
      <w:pPr>
        <w:pStyle w:val="Heading2"/>
      </w:pPr>
      <w:bookmarkStart w:id="29" w:name="aqueous-natural-organic-matter"/>
      <w:r>
        <w:t xml:space="preserve">1.2 Aqueous natural organic matter</w:t>
      </w:r>
      <w:bookmarkEnd w:id="29"/>
    </w:p>
    <w:p>
      <w:pPr>
        <w:pStyle w:val="FirstParagraph"/>
      </w:pPr>
      <w:r>
        <w:t xml:space="preserve">Source water treatability varies with Natural organic matter (NOM) concentration and character, which depend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NOM molecules contain nitrogen, silica, oxygen and hydrogen but are composed primarily of organic carbon; thus, organic carbon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As DOC is likely to generate DBPs during chlorination, it is an important source water quality parameter to monitor. In fact, guidelines in British Columbia specify that source water TOC should remain below 4 mg/L to reduce DBPs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In addition to acting as a precursor for DBPs, NOM is an energy source for aquatic heterotrophic microbes, it has the ability to bind and transport contaminants in solution (e.g. metals, organic pollutants, nutrients), and influence stream pH and aquatic light and temperature regimes (which, in turn, effect aquatic microbial communities)</w:t>
      </w:r>
      <w:r>
        <w:t xml:space="preserve"> </w:t>
      </w:r>
      <w:r>
        <w:t xml:space="preserve">(Oni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w:t>
      </w:r>
    </w:p>
    <w:p>
      <w:pPr>
        <w:pStyle w:val="BodyText"/>
      </w:pPr>
      <w:r>
        <w:t xml:space="preserve">While aqueous NOM does not directly impact human health, it can create operational issues which reduce drinking water treatment efficiency. Depending on the infrastructure of a plant and it’s treatment processes, elevated levels of DOM in source water can increase coagulant demand, strain chemically assisted filtration processes, and increase sludge production. Among other NOM-related operational challenges, elevated DOM in source water may reduce the effectiveness of disinfection processes by interfering with ultraviolet (UV) disinfection and increasing chlorination demand</w:t>
      </w:r>
      <w:r>
        <w:t xml:space="preserve"> </w:t>
      </w:r>
      <w:r>
        <w:t xml:space="preserve">(Health Canada</w:t>
      </w:r>
      <w:r>
        <w:t xml:space="preserve"> </w:t>
      </w:r>
      <w:hyperlink w:anchor="ref-HealthCanada2019">
        <w:r>
          <w:rPr>
            <w:rStyle w:val="Hyperlink"/>
          </w:rPr>
          <w:t xml:space="preserve">2019</w:t>
        </w:r>
      </w:hyperlink>
      <w:r>
        <w:t xml:space="preserve">)</w:t>
      </w:r>
      <w:r>
        <w:t xml:space="preserve">.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@Yang2015)</w:t>
      </w:r>
      <w:r>
        <w:t xml:space="preserve">.</w:t>
      </w:r>
    </w:p>
    <w:p>
      <w:pPr>
        <w:pStyle w:val="Heading2"/>
      </w:pPr>
      <w:bookmarkStart w:id="30" w:name="watershed-processes-and-water-quality"/>
      <w:r>
        <w:t xml:space="preserve">1.3 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particularly with respect to disinfection byproducts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r>
        <w:t xml:space="preserve"> </w:t>
      </w:r>
      <w:r>
        <w:t xml:space="preserve">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the majority of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Heading2"/>
      </w:pPr>
      <w:bookmarkStart w:id="31" w:name="forwater-crd-gvwsa"/>
      <w:r>
        <w:t xml:space="preserve">1.4 forWater &amp; CRD GVWSA</w:t>
      </w:r>
      <w:bookmarkEnd w:id="31"/>
    </w:p>
    <w:p>
      <w:pPr>
        <w:pStyle w:val="Heading3"/>
      </w:pPr>
      <w:bookmarkStart w:id="32" w:name="the-forwater-network"/>
      <w:r>
        <w:t xml:space="preserve">1.4.1 The forWater Network</w:t>
      </w:r>
      <w:bookmarkEnd w:id="32"/>
    </w:p>
    <w:p>
      <w:pPr>
        <w:pStyle w:val="FirstParagraph"/>
      </w:pPr>
      <w:r>
        <w:t xml:space="preserve">The NSERC Strategic Network, forWater,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treatement demands.</w:t>
      </w:r>
    </w:p>
    <w:p>
      <w:pPr>
        <w:pStyle w:val="BodyText"/>
      </w:pPr>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It has been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High intensity and/or long duration precipitation events can deplete both terrestrial and aquatic NOM storage sources (e.g. high flows can disturb benthic NOM storage)</w:t>
      </w:r>
      <w:r>
        <w:t xml:space="preserve"> </w:t>
      </w:r>
      <w:r>
        <w:t xml:space="preserve">(Meyer and Tate</w:t>
      </w:r>
      <w:r>
        <w:t xml:space="preserve"> </w:t>
      </w:r>
      <w:hyperlink w:anchor="ref-Meyer1983">
        <w:r>
          <w:rPr>
            <w:rStyle w:val="Hyperlink"/>
          </w:rPr>
          <w:t xml:space="preserve">1983</w:t>
        </w:r>
      </w:hyperlink>
      <w:r>
        <w:t xml:space="preserve">)</w:t>
      </w:r>
      <w:r>
        <w:t xml:space="preserve">. Understanding the hydrochemistry of a water supply area is key to conducting informed preventative forest management applications.</w:t>
      </w:r>
    </w:p>
    <w:p>
      <w:pPr>
        <w:pStyle w:val="Heading3"/>
      </w:pPr>
      <w:bookmarkStart w:id="33" w:name="greater-victoria-water-supply-areas"/>
      <w:r>
        <w:t xml:space="preserve">1.3.2 Greater Victoria Water Supply Areas</w:t>
      </w:r>
      <w:bookmarkEnd w:id="33"/>
    </w:p>
    <w:p>
      <w:pPr>
        <w:pStyle w:val="FirstParagraph"/>
      </w:pPr>
      <w:r>
        <w:t xml:space="preserve">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4"/>
      </w:pPr>
      <w:bookmarkStart w:id="34" w:name="forest-management"/>
      <w:r>
        <w:t xml:space="preserve">1.3.2.1 Forest management</w:t>
      </w:r>
      <w:bookmarkEnd w:id="34"/>
    </w:p>
    <w:p>
      <w:pPr>
        <w:pStyle w:val="FirstParagraph"/>
      </w:pPr>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Heading4"/>
      </w:pPr>
      <w:bookmarkStart w:id="35" w:name="Xa16e3865f55dfa335216c3b7e239c586bbd6383"/>
      <w:r>
        <w:t xml:space="preserve">1.3.2.2 Greater Victoria Drinking Water Treatment</w:t>
      </w:r>
      <w:bookmarkEnd w:id="35"/>
    </w:p>
    <w:p>
      <w:pPr>
        <w:pStyle w:val="FirstParagraph"/>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fairly simple: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distribution). Understanding dynamics and variability of hydrochemistry in the LWSA is needed to anticipate possible treatment challenges that may accompany future inter-basin transfer from the LWSA.</w:t>
      </w:r>
    </w:p>
    <w:p>
      <w:pPr>
        <w:pStyle w:val="Heading2"/>
      </w:pPr>
      <w:bookmarkStart w:id="36" w:name="research-objectives"/>
      <w:r>
        <w:t xml:space="preserve">1.5 Research Objectives</w:t>
      </w:r>
      <w:bookmarkEnd w:id="36"/>
    </w:p>
    <w:p>
      <w:pPr>
        <w:pStyle w:val="FirstParagraph"/>
      </w:pPr>
      <w:r>
        <w:t xml:space="preserve">As a member of the Watershed Science and Forest Management Theme of forWater,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1"/>
      </w:pPr>
      <w:bookmarkStart w:id="37" w:name="methods"/>
      <w:r>
        <w:t xml:space="preserve">2 Methods</w:t>
      </w:r>
      <w:bookmarkEnd w:id="37"/>
    </w:p>
    <w:p>
      <w:pPr>
        <w:pStyle w:val="Heading2"/>
      </w:pPr>
      <w:bookmarkStart w:id="38" w:name="study-site-leech-river-watershed"/>
      <w:r>
        <w:t xml:space="preserve">2.1 Study Site: Leech River Watershed</w:t>
      </w:r>
      <w:bookmarkEnd w:id="38"/>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w:t>
      </w:r>
    </w:p>
    <w:p>
      <w:pPr>
        <w:pStyle w:val="BodyText"/>
      </w:pPr>
      <w:r>
        <w:drawing>
          <wp:inline>
            <wp:extent cx="5943600" cy="5230705"/>
            <wp:effectExtent b="0" l="0" r="0" t="0"/>
            <wp:docPr descr="__Figure_The Leech and Sooke Water Supply Areas (Greater Victoria, CRD)" title="" id="1" name="Picture"/>
            <a:graphic>
              <a:graphicData uri="http://schemas.openxmlformats.org/drawingml/2006/picture">
                <pic:pic>
                  <pic:nvPicPr>
                    <pic:cNvPr descr="R-inputs_UBC-forWater-MSc_HMc/images/GVWSA_map-3.png" id="0" name="Picture"/>
                    <pic:cNvPicPr>
                      <a:picLocks noChangeArrowheads="1" noChangeAspect="1"/>
                    </pic:cNvPicPr>
                  </pic:nvPicPr>
                  <pic:blipFill>
                    <a:blip r:embed="rId39"/>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3"/>
      </w:pPr>
      <w:bookmarkStart w:id="40" w:name="climate-weather-forests"/>
      <w:r>
        <w:t xml:space="preserve">2.1.1 Climate, Weather, Forests</w:t>
      </w:r>
      <w:bookmarkEnd w:id="4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Figure</w:t>
      </w:r>
      <w:r>
        <w:t xml:space="preserve"> </w:t>
      </w:r>
      <w:r>
        <w:t xml:space="preserve">??</w:t>
      </w:r>
      <w:r>
        <w:t xml:space="preserve">. 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pPr>
        <w:pStyle w:val="BodyText"/>
      </w:pPr>
      <w:r>
        <w:t xml:space="preserve">These data included air temperature and precipitation. Precipitation data acquired from the CRD was used to delineate storms using (R package Rainmaker). Temperature data was referenced to subbasin temperatures recorded by vertical rack TidbiT loggers.</w:t>
      </w:r>
    </w:p>
    <w:p>
      <w:pPr>
        <w:pStyle w:val="BodyText"/>
      </w:pPr>
      <w:r>
        <w:t xml:space="preserve"> </w:t>
      </w:r>
      <w:r>
        <w:drawing>
          <wp:inline>
            <wp:extent cx="4620126" cy="3696101"/>
            <wp:effectExtent b="0" l="0" r="0" t="0"/>
            <wp:docPr descr="__Figure_Plots of weather from the two fire weather stations in the Leech Water Supply Area" title="" id="1" name="Picture"/>
            <a:graphic>
              <a:graphicData uri="http://schemas.openxmlformats.org/drawingml/2006/picture">
                <pic:pic>
                  <pic:nvPicPr>
                    <pic:cNvPr descr="R-outputs_UBC-forWater-MSc_HMc/figures/LeechWxPlot-1.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pPr>
        <w:pStyle w:val="BodyText"/>
      </w:pPr>
      <w:r>
        <w:t xml:space="preserve">There is a weather station on the Malahat mountain pass, east of the study site (ID 62091, BC Ministry of Transportation and Infrastructure and Pacific Climate Impacts) that had precipitation and air temperature data available from 2014 to 2020. Figure ##### shows weather data from the Malahat weather station and highlights the period in which this research occurred in which there were no obvious deviations from previous years.</w:t>
      </w:r>
    </w:p>
    <w:p>
      <w:pPr>
        <w:pStyle w:val="BodyText"/>
      </w:pPr>
      <w:r>
        <w:t xml:space="preserve"> </w:t>
      </w:r>
      <w:r>
        <w:drawing>
          <wp:inline>
            <wp:extent cx="4620126" cy="3696101"/>
            <wp:effectExtent b="0" l="0" r="0" t="0"/>
            <wp:docPr descr="__Figure_Plot of weather from the nearby Malahat Wx station with the period of study highlighted" title="" id="1" name="Picture"/>
            <a:graphic>
              <a:graphicData uri="http://schemas.openxmlformats.org/drawingml/2006/picture">
                <pic:pic>
                  <pic:nvPicPr>
                    <pic:cNvPr descr="R-outputs_UBC-forWater-MSc_HMc/figures/MalahatWxPlot-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pPr>
        <w:pStyle w:val="Heading3"/>
      </w:pPr>
      <w:bookmarkStart w:id="43" w:name="synoptic-sampling-sites"/>
      <w:r>
        <w:t xml:space="preserve">2.1.2 Synoptic sampling sites</w:t>
      </w:r>
      <w:bookmarkEnd w:id="43"/>
    </w:p>
    <w:p>
      <w:pPr>
        <w:pStyle w:val="FirstParagraph"/>
      </w:pPr>
      <w:r>
        <w:t xml:space="preserve">Fifteen sites were sampled synoptically from October 2018 to February 2020. Figure ### shows the locations of the synoptically sampled sites as well as the two weather stations.</w:t>
      </w:r>
      <w:r>
        <w:t xml:space="preserve"> </w:t>
      </w:r>
      <w:r>
        <w:t xml:space="preserve"> </w:t>
      </w:r>
      <w:r>
        <w:drawing>
          <wp:inline>
            <wp:extent cx="5943600" cy="4224742"/>
            <wp:effectExtent b="0" l="0" r="0" t="0"/>
            <wp:docPr descr="__Figure_The Leech and Sooke Water Supply Areas (Greater Victoria, CRD)" title="" id="1" name="Picture"/>
            <a:graphic>
              <a:graphicData uri="http://schemas.openxmlformats.org/drawingml/2006/picture">
                <pic:pic>
                  <pic:nvPicPr>
                    <pic:cNvPr descr="R-inputs_UBC-forWater-MSc_HMc/images/Sample-Sites_Wx_map.png" id="0" name="Picture"/>
                    <pic:cNvPicPr>
                      <a:picLocks noChangeArrowheads="1" noChangeAspect="1"/>
                    </pic:cNvPicPr>
                  </pic:nvPicPr>
                  <pic:blipFill>
                    <a:blip r:embed="rId44"/>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3"/>
      </w:pPr>
      <w:bookmarkStart w:id="45" w:name="subbasin-monitoring-sites"/>
      <w:r>
        <w:t xml:space="preserve">2.1.3 Subbasin monitoring sites</w:t>
      </w:r>
      <w:bookmarkEnd w:id="45"/>
    </w:p>
    <w:p>
      <w:pPr>
        <w:pStyle w:val="FirstParagraph"/>
      </w:pPr>
      <w:r>
        <w:t xml:space="preserve">Six sites were selected across the Leech Water Supply Area which represent five nested catchments and the entire water supply area basin defined from the point of (future) diversion, the Leech Tunnel. These subbasin research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pPr>
        <w:pStyle w:val="CaptionedFigure"/>
      </w:pPr>
      <w:r>
        <w:drawing>
          <wp:inline>
            <wp:extent cx="4980432" cy="5504688"/>
            <wp:effectExtent b="0" l="0" r="0" t="0"/>
            <wp:docPr descr="__Figure_Subbasin monitoring sites in the Leech Water Supply Area" title="" id="1" name="Picture"/>
            <a:graphic>
              <a:graphicData uri="http://schemas.openxmlformats.org/drawingml/2006/picture">
                <pic:pic>
                  <pic:nvPicPr>
                    <pic:cNvPr descr="R-inputs_UBC-forWater-MSc_HMc/images/sub-basins.jpg" id="0" name="Picture"/>
                    <pic:cNvPicPr>
                      <a:picLocks noChangeArrowheads="1" noChangeAspect="1"/>
                    </pic:cNvPicPr>
                  </pic:nvPicPr>
                  <pic:blipFill>
                    <a:blip r:embed="rId46"/>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t xml:space="preserve">__Figure_</w:t>
      </w:r>
      <w:r>
        <w:rPr>
          <w:i/>
        </w:rPr>
        <w:t xml:space="preserve">Subbasin monitoring sites in the Leech Water Supply Area</w:t>
      </w:r>
    </w:p>
    <w:p>
      <w:pPr>
        <w:pStyle w:val="BodyText"/>
      </w:pPr>
    </w:p>
    <w:tbl>
      <w:tblPr>
        <w:tblStyle w:val="Table"/>
        <w:tblW w:type="pct" w:w="0.0"/>
        <w:tblLook w:firstRow="1"/>
      </w:tblPr>
      <w:tblGrid/>
      <w:tr>
        <w:trPr>
          <w:cnfStyle w:firstRow="1"/>
        </w:trPr>
        <w:tc>
          <w:tcPr>
            <w:tcBorders>
              <w:bottom w:val="single"/>
            </w:tcBorders>
            <w:vAlign w:val="bottom"/>
          </w:tcPr>
          <w:p>
            <w:pPr>
              <w:pStyle w:val="Compact"/>
              <w:jc w:val="righ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Percent Forest</w:t>
            </w:r>
          </w:p>
        </w:tc>
        <w:tc>
          <w:tcPr>
            <w:tcBorders>
              <w:bottom w:val="single"/>
            </w:tcBorders>
            <w:vAlign w:val="bottom"/>
          </w:tcPr>
          <w:p>
            <w:pPr>
              <w:pStyle w:val="Compact"/>
              <w:jc w:val="left"/>
            </w:pPr>
            <w:r>
              <w:t xml:space="preserve">Percent Wetland</w:t>
            </w:r>
          </w:p>
        </w:tc>
        <w:tc>
          <w:tcPr>
            <w:tcBorders>
              <w:bottom w:val="single"/>
            </w:tcBorders>
            <w:vAlign w:val="bottom"/>
          </w:tcPr>
          <w:p>
            <w:pPr>
              <w:pStyle w:val="Compact"/>
              <w:jc w:val="left"/>
            </w:pPr>
            <w:r>
              <w:t xml:space="preserve">Parent Material</w:t>
            </w:r>
          </w:p>
        </w:tc>
      </w:tr>
      <w:tr>
        <w:tc>
          <w:p>
            <w:pPr>
              <w:pStyle w:val="Compact"/>
              <w:jc w:val="right"/>
            </w:pPr>
            <w:r>
              <w:t xml:space="preserve">1</w:t>
            </w:r>
          </w:p>
        </w:tc>
        <w:tc>
          <w:p>
            <w:pPr>
              <w:pStyle w:val="Compact"/>
              <w:jc w:val="left"/>
            </w:pPr>
            <w:r>
              <w:t xml:space="preserve">Weeks</w:t>
            </w:r>
          </w:p>
        </w:tc>
        <w:tc>
          <w:p>
            <w:pPr>
              <w:pStyle w:val="Compact"/>
              <w:jc w:val="right"/>
            </w:pPr>
            <w:r>
              <w:t xml:space="preserve">48.57568</w:t>
            </w:r>
          </w:p>
        </w:tc>
        <w:tc>
          <w:p>
            <w:pPr>
              <w:pStyle w:val="Compact"/>
              <w:jc w:val="right"/>
            </w:pPr>
            <w:r>
              <w:t xml:space="preserve">-123.8456</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521</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2</w:t>
            </w:r>
          </w:p>
        </w:tc>
        <w:tc>
          <w:p>
            <w:pPr>
              <w:pStyle w:val="Compact"/>
              <w:jc w:val="left"/>
            </w:pPr>
            <w:r>
              <w:t xml:space="preserve">Chris Creek</w:t>
            </w:r>
          </w:p>
        </w:tc>
        <w:tc>
          <w:p>
            <w:pPr>
              <w:pStyle w:val="Compact"/>
              <w:jc w:val="right"/>
            </w:pPr>
            <w:r>
              <w:t xml:space="preserve">48.57739</w:t>
            </w:r>
          </w:p>
        </w:tc>
        <w:tc>
          <w:p>
            <w:pPr>
              <w:pStyle w:val="Compact"/>
              <w:jc w:val="right"/>
            </w:pPr>
            <w:r>
              <w:t xml:space="preserve">-123.8403</w:t>
            </w:r>
          </w:p>
        </w:tc>
        <w:tc>
          <w:p>
            <w:pPr>
              <w:pStyle w:val="Compact"/>
              <w:jc w:val="left"/>
            </w:pPr>
            <w:r>
              <w:t xml:space="preserve">Headwaters</w:t>
            </w:r>
          </w:p>
        </w:tc>
        <w:tc>
          <w:p>
            <w:pPr>
              <w:pStyle w:val="Compact"/>
              <w:jc w:val="right"/>
            </w:pPr>
            <w:r>
              <w:t xml:space="preserve">9.6</w:t>
            </w:r>
          </w:p>
        </w:tc>
        <w:tc>
          <w:p>
            <w:pPr>
              <w:pStyle w:val="Compact"/>
              <w:jc w:val="right"/>
            </w:pPr>
            <w:r>
              <w:t xml:space="preserve">522</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3</w:t>
            </w:r>
          </w:p>
        </w:tc>
        <w:tc>
          <w:p>
            <w:pPr>
              <w:pStyle w:val="Compact"/>
              <w:jc w:val="left"/>
            </w:pPr>
            <w:r>
              <w:t xml:space="preserve">Leech Head</w:t>
            </w:r>
          </w:p>
        </w:tc>
        <w:tc>
          <w:p>
            <w:pPr>
              <w:pStyle w:val="Compact"/>
              <w:jc w:val="right"/>
            </w:pPr>
            <w:r>
              <w:t xml:space="preserve">48.56647</w:t>
            </w:r>
          </w:p>
        </w:tc>
        <w:tc>
          <w:p>
            <w:pPr>
              <w:pStyle w:val="Compact"/>
              <w:jc w:val="right"/>
            </w:pPr>
            <w:r>
              <w:t xml:space="preserve">-123.8257</w:t>
            </w:r>
          </w:p>
        </w:tc>
        <w:tc>
          <w:p>
            <w:pPr>
              <w:pStyle w:val="Compact"/>
              <w:jc w:val="left"/>
            </w:pPr>
            <w:r>
              <w:t xml:space="preserve">Mainstem river head</w:t>
            </w:r>
          </w:p>
        </w:tc>
        <w:tc>
          <w:p>
            <w:pPr>
              <w:pStyle w:val="Compact"/>
              <w:jc w:val="right"/>
            </w:pPr>
            <w:r>
              <w:t xml:space="preserve">26.2</w:t>
            </w:r>
          </w:p>
        </w:tc>
        <w:tc>
          <w:p>
            <w:pPr>
              <w:pStyle w:val="Compact"/>
              <w:jc w:val="right"/>
            </w:pPr>
            <w:r>
              <w:t xml:space="preserve">476</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4</w:t>
            </w:r>
          </w:p>
        </w:tc>
        <w:tc>
          <w:p>
            <w:pPr>
              <w:pStyle w:val="Compact"/>
              <w:jc w:val="left"/>
            </w:pPr>
            <w:r>
              <w:t xml:space="preserve">Cragg Creek</w:t>
            </w:r>
          </w:p>
        </w:tc>
        <w:tc>
          <w:p>
            <w:pPr>
              <w:pStyle w:val="Compact"/>
              <w:jc w:val="right"/>
            </w:pPr>
            <w:r>
              <w:t xml:space="preserve">48.54783</w:t>
            </w:r>
          </w:p>
        </w:tc>
        <w:tc>
          <w:p>
            <w:pPr>
              <w:pStyle w:val="Compact"/>
              <w:jc w:val="right"/>
            </w:pPr>
            <w:r>
              <w:t xml:space="preserve">-123.7711</w:t>
            </w:r>
          </w:p>
        </w:tc>
        <w:tc>
          <w:p>
            <w:pPr>
              <w:pStyle w:val="Compact"/>
              <w:jc w:val="left"/>
            </w:pPr>
            <w:r>
              <w:t xml:space="preserve">Mainstem river</w:t>
            </w:r>
          </w:p>
        </w:tc>
        <w:tc>
          <w:p>
            <w:pPr>
              <w:pStyle w:val="Compact"/>
              <w:jc w:val="right"/>
            </w:pPr>
            <w:r>
              <w:t xml:space="preserve">37.1</w:t>
            </w:r>
          </w:p>
        </w:tc>
        <w:tc>
          <w:p>
            <w:pPr>
              <w:pStyle w:val="Compact"/>
              <w:jc w:val="right"/>
            </w:pPr>
            <w:r>
              <w:t xml:space="preserve">509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5</w:t>
            </w:r>
          </w:p>
        </w:tc>
        <w:tc>
          <w:p>
            <w:pPr>
              <w:pStyle w:val="Compact"/>
              <w:jc w:val="left"/>
            </w:pPr>
            <w:r>
              <w:t xml:space="preserve">West Leech</w:t>
            </w:r>
          </w:p>
        </w:tc>
        <w:tc>
          <w:p>
            <w:pPr>
              <w:pStyle w:val="Compact"/>
              <w:jc w:val="right"/>
            </w:pPr>
            <w:r>
              <w:t xml:space="preserve">48.50688</w:t>
            </w:r>
          </w:p>
        </w:tc>
        <w:tc>
          <w:p>
            <w:pPr>
              <w:pStyle w:val="Compact"/>
              <w:jc w:val="right"/>
            </w:pPr>
            <w:r>
              <w:t xml:space="preserve">-123.7847</w:t>
            </w:r>
          </w:p>
        </w:tc>
        <w:tc>
          <w:p>
            <w:pPr>
              <w:pStyle w:val="Compact"/>
              <w:jc w:val="left"/>
            </w:pPr>
            <w:r>
              <w:t xml:space="preserve">Mainstem river</w:t>
            </w:r>
          </w:p>
        </w:tc>
        <w:tc>
          <w:p>
            <w:pPr>
              <w:pStyle w:val="Compact"/>
              <w:jc w:val="right"/>
            </w:pPr>
            <w:r>
              <w:t xml:space="preserve">35.2</w:t>
            </w:r>
          </w:p>
        </w:tc>
        <w:tc>
          <w:p>
            <w:pPr>
              <w:pStyle w:val="Compact"/>
              <w:jc w:val="right"/>
            </w:pPr>
            <w:r>
              <w:t xml:space="preserve">248</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6</w:t>
            </w:r>
          </w:p>
        </w:tc>
        <w:tc>
          <w:p>
            <w:pPr>
              <w:pStyle w:val="Compact"/>
              <w:jc w:val="left"/>
            </w:pPr>
            <w:r>
              <w:t xml:space="preserve">Leech Tunnel</w:t>
            </w:r>
          </w:p>
        </w:tc>
        <w:tc>
          <w:p>
            <w:pPr>
              <w:pStyle w:val="Compact"/>
              <w:jc w:val="right"/>
            </w:pPr>
            <w:r>
              <w:t xml:space="preserve">48.50701</w:t>
            </w:r>
          </w:p>
        </w:tc>
        <w:tc>
          <w:p>
            <w:pPr>
              <w:pStyle w:val="Compact"/>
              <w:jc w:val="right"/>
            </w:pPr>
            <w:r>
              <w:t xml:space="preserve">-123.7674</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207</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p>
        </w:tc>
        <w:tc>
          <w:p/>
        </w:tc>
        <w:tc>
          <w:p/>
        </w:tc>
        <w:tc>
          <w:p/>
        </w:tc>
        <w:tc>
          <w:p/>
        </w:tc>
        <w:tc>
          <w:p/>
        </w:tc>
        <w:tc>
          <w:p/>
        </w:tc>
        <w:tc>
          <w:p/>
        </w:tc>
        <w:tc>
          <w:p/>
        </w:tc>
        <w:tc>
          <w:p/>
        </w:tc>
      </w:tr>
    </w:tbl>
    <w:p>
      <w:pPr>
        <w:pStyle w:val="Heading4"/>
      </w:pPr>
      <w:bookmarkStart w:id="47" w:name="subbasin-sampling-and-installations"/>
      <w:r>
        <w:t xml:space="preserve">2.1.3.1 Subbasin sampling and installations</w:t>
      </w:r>
      <w:bookmarkEnd w:id="47"/>
    </w:p>
    <w:p>
      <w:pPr>
        <w:pStyle w:val="FirstParagraph"/>
      </w:pPr>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w:t>
      </w:r>
      <w:r>
        <w:t xml:space="preserve"> </w:t>
      </w:r>
      <w:hyperlink r:id="rId48">
        <w:r>
          <w:rPr>
            <w:rStyle w:val="Hyperlink"/>
          </w:rPr>
          <w:t xml:space="preserve">Odyssey Capacitance water level logger</w:t>
        </w:r>
      </w:hyperlink>
      <w:r>
        <w:t xml:space="preserve">; and on either side of the central stilling well was a slotted offset angle bar onto which hose clamps held sample bottles fit with custom siphon lids (Fig. #####). By combining the height at which each siphon bottle filled with observed stage from the stilling-well tape and Logger data, the date and time for each rising-stage sample collection was determined.</w:t>
      </w:r>
    </w:p>
    <w:p>
      <w:pPr>
        <w:pStyle w:val="BodyText"/>
      </w:pPr>
      <w:r>
        <w:t xml:space="preserve"> </w:t>
      </w:r>
      <w:r>
        <w:drawing>
          <wp:inline>
            <wp:extent cx="3448944" cy="6904026"/>
            <wp:effectExtent b="0" l="0" r="0" t="0"/>
            <wp:docPr descr="Figure ###: Rising limb siphon sampler bottle" title="" id="1" name="Picture"/>
            <a:graphic>
              <a:graphicData uri="http://schemas.openxmlformats.org/drawingml/2006/picture">
                <pic:pic>
                  <pic:nvPicPr>
                    <pic:cNvPr descr="R-inputs_UBC-forWater-MSc_HMc/images/Rack_bottle-insert.png" id="0" name="Picture"/>
                    <pic:cNvPicPr>
                      <a:picLocks noChangeArrowheads="1" noChangeAspect="1"/>
                    </pic:cNvPicPr>
                  </pic:nvPicPr>
                  <pic:blipFill>
                    <a:blip r:embed="rId49"/>
                    <a:stretch>
                      <a:fillRect/>
                    </a:stretch>
                  </pic:blipFill>
                  <pic:spPr bwMode="auto">
                    <a:xfrm>
                      <a:off x="0" y="0"/>
                      <a:ext cx="3448944" cy="6904026"/>
                    </a:xfrm>
                    <a:prstGeom prst="rect">
                      <a:avLst/>
                    </a:prstGeom>
                    <a:noFill/>
                    <a:ln w="9525">
                      <a:noFill/>
                      <a:headEnd/>
                      <a:tailEnd/>
                    </a:ln>
                  </pic:spPr>
                </pic:pic>
              </a:graphicData>
            </a:graphic>
          </wp:inline>
        </w:drawing>
      </w: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6"/>
      </w:pPr>
      <w:bookmarkStart w:id="50" w:name="X9615c63c5149846fb419ac5f49bb338728a17ea"/>
      <w:r>
        <w:t xml:space="preserve">2.1.3.1.1 Vertical rack sampling QA/QC: Siphon sampler assumptions</w:t>
      </w:r>
      <w:bookmarkEnd w:id="50"/>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6"/>
      </w:pPr>
      <w:bookmarkStart w:id="51" w:name="Xe230304f074c828928113cae8bc8ee260bba4ea"/>
      <w:r>
        <w:t xml:space="preserve">2.1.3.1.2 Vertical rack sampling QA/QC: Sample hold-times and temperatures</w:t>
      </w:r>
      <w:bookmarkEnd w:id="51"/>
    </w:p>
    <w:p>
      <w:pPr>
        <w:pStyle w:val="FirstParagraph"/>
      </w:pPr>
      <w:r>
        <w:t xml:space="preserve">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pPr>
        <w:pStyle w:val="BodyText"/>
      </w:pPr>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pPr>
        <w:pStyle w:val="Heading6"/>
      </w:pPr>
      <w:bookmarkStart w:id="52" w:name="X4e3eb70344da6a931ae15671e47b67ae69cdd36"/>
      <w:r>
        <w:t xml:space="preserve">2.1.3.1.3 Prototype for falling limb passive sampling</w:t>
      </w:r>
      <w:bookmarkEnd w:id="52"/>
    </w:p>
    <w:p>
      <w:pPr>
        <w:pStyle w:val="FirstParagraph"/>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3"/>
      </w:pPr>
      <w:bookmarkStart w:id="53" w:name="Xff9c1916dd8d278b07e9d95ebf125bc565f5754"/>
      <w:r>
        <w:t xml:space="preserve">2.1.4 forWater Coordinated Treatability Analyses Sites</w:t>
      </w:r>
      <w:bookmarkEnd w:id="53"/>
    </w:p>
    <w:p>
      <w:pPr>
        <w:pStyle w:val="FirstParagraph"/>
      </w:pPr>
      <w:r>
        <w:t xml:space="preserve">Four of the synoptic sampling sites were selected to collect source water treatability data in collaboration with researchers in the forWater Network. The sites were:</w:t>
      </w:r>
    </w:p>
    <w:p>
      <w:pPr>
        <w:pStyle w:val="SourceCode"/>
      </w:pPr>
      <w:r>
        <w:rPr>
          <w:rStyle w:val="VerbatimChar"/>
        </w:rPr>
        <w:t xml:space="preserve">1. the Leech River at the future point of diversion,    </w:t>
      </w:r>
      <w:r>
        <w:br/>
      </w:r>
      <w:r>
        <w:rPr>
          <w:rStyle w:val="VerbatimChar"/>
        </w:rPr>
        <w:t xml:space="preserve">2. Deception Reservoir</w:t>
      </w:r>
      <w:r>
        <w:br/>
      </w:r>
      <w:r>
        <w:rPr>
          <w:rStyle w:val="VerbatimChar"/>
        </w:rPr>
        <w:t xml:space="preserve">3. Rithet Creek (2nd largest tributary to Sooke Reservoir) </w:t>
      </w:r>
      <w:r>
        <w:br/>
      </w:r>
      <w:r>
        <w:rPr>
          <w:rStyle w:val="VerbatimChar"/>
        </w:rPr>
        <w:t xml:space="preserve">4. 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 (respectively).</w:t>
      </w:r>
    </w:p>
    <w:p>
      <w:pPr>
        <w:pStyle w:val="BodyText"/>
      </w:pPr>
      <w:r>
        <w:t xml:space="preserve">Replicate samples were collected November 12, 2019 and January 18, 2020 and were shipped to the Universities of Alberta and Waterloo for treatability analyses.</w:t>
      </w:r>
      <w:r>
        <w:t xml:space="preserve"> </w:t>
      </w:r>
      <w:r>
        <w:t xml:space="preserve">At the University of Waterloo, samples were analyzed for treatability parameters including: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2"/>
      </w:pPr>
      <w:bookmarkStart w:id="54" w:name="analytical-techniques-data"/>
      <w:r>
        <w:t xml:space="preserve">2.2 Analytical techniques &amp; data</w:t>
      </w:r>
      <w:bookmarkEnd w:id="54"/>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pPr>
        <w:pStyle w:val="Heading3"/>
      </w:pPr>
      <w:bookmarkStart w:id="55" w:name="Xb630206f94eb7a6759972938c273ff8eaba2c81"/>
      <w:r>
        <w:t xml:space="preserve">2.2.1 Quantifying dissolved organic carbon (DOC, as NPOC)</w:t>
      </w:r>
      <w:bookmarkEnd w:id="55"/>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Heading3"/>
      </w:pPr>
      <w:bookmarkStart w:id="56" w:name="Xea9a419b4818086e32a635ac9fa4c094692859d"/>
      <w:r>
        <w:t xml:space="preserve">2.2.2 Qualifying organic matter through spectrophotometry</w:t>
      </w:r>
      <w:bookmarkEnd w:id="56"/>
    </w:p>
    <w:p>
      <w:pPr>
        <w:pStyle w:val="Heading4"/>
      </w:pPr>
      <w:bookmarkStart w:id="57" w:name="proxy-doc"/>
      <w:r>
        <w:t xml:space="preserve">2.2.2.1 Proxy DOC</w:t>
      </w:r>
      <w:bookmarkEnd w:id="57"/>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4"/>
      </w:pPr>
      <w:bookmarkStart w:id="58" w:name="quality-control-note"/>
      <w:r>
        <w:t xml:space="preserve">2.2.2.1.1 Quality control note</w:t>
      </w:r>
      <w:bookmarkEnd w:id="58"/>
    </w:p>
    <w:p>
      <w:pPr>
        <w:pStyle w:val="FirstParagraph"/>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Heading4"/>
      </w:pPr>
      <w:bookmarkStart w:id="59" w:name="suva254"/>
      <w:r>
        <w:t xml:space="preserve">2.2.2.2 SUVA</w:t>
      </w:r>
      <w:r>
        <w:rPr>
          <w:vertAlign w:val="subscript"/>
        </w:rPr>
        <w:t xml:space="preserve">254</w:t>
      </w:r>
      <w:bookmarkEnd w:id="59"/>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4"/>
      </w:pPr>
      <w:bookmarkStart w:id="60" w:name="spectral-indices-of-nom-character"/>
      <w:r>
        <w:t xml:space="preserve">2.2.2.3 spectral indices of NOM character</w:t>
      </w:r>
      <w:bookmarkEnd w:id="60"/>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3"/>
      </w:pPr>
      <w:bookmarkStart w:id="61" w:name="Xcc08ec80943ac2e4b045ef0d627856fbbc0f249"/>
      <w:r>
        <w:t xml:space="preserve">2.2.3 Sampling for Metals &amp; CRD Analytical Results</w:t>
      </w:r>
      <w:bookmarkEnd w:id="61"/>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pPr>
        <w:pStyle w:val="Heading1"/>
      </w:pPr>
      <w:bookmarkStart w:id="62" w:name="data-results"/>
      <w:r>
        <w:t xml:space="preserve">Data &amp; Results</w:t>
      </w:r>
      <w:bookmarkEnd w:id="62"/>
    </w:p>
    <w:p>
      <w:pPr>
        <w:pStyle w:val="FirstParagraph"/>
      </w:pPr>
      <w:r>
        <w:t xml:space="preserve">Samples were collected, here is a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62</w:t>
            </w:r>
          </w:p>
        </w:tc>
      </w:tr>
      <w:tr>
        <w:tc>
          <w:p>
            <w:pPr>
              <w:pStyle w:val="Compact"/>
              <w:jc w:val="left"/>
            </w:pPr>
            <w:r>
              <w:t xml:space="preserve">opportunistic grab samples</w:t>
            </w:r>
          </w:p>
        </w:tc>
        <w:tc>
          <w:p>
            <w:pPr>
              <w:pStyle w:val="Compact"/>
              <w:jc w:val="right"/>
            </w:pPr>
            <w:r>
              <w:t xml:space="preserve">14</w:t>
            </w:r>
          </w:p>
        </w:tc>
      </w:tr>
      <w:tr>
        <w:tc>
          <w:p>
            <w:pPr>
              <w:pStyle w:val="Compact"/>
              <w:jc w:val="left"/>
            </w:pPr>
            <w:r>
              <w:t xml:space="preserve">sub-basin synoptic grab samples</w:t>
            </w:r>
          </w:p>
        </w:tc>
        <w:tc>
          <w:p>
            <w:pPr>
              <w:pStyle w:val="Compact"/>
              <w:jc w:val="right"/>
            </w:pPr>
            <w:r>
              <w:t xml:space="preserve">153</w:t>
            </w:r>
          </w:p>
        </w:tc>
      </w:tr>
      <w:tr>
        <w:tc>
          <w:p>
            <w:pPr>
              <w:pStyle w:val="Compact"/>
              <w:jc w:val="left"/>
            </w:pPr>
            <w:r>
              <w:t xml:space="preserve">sub-basin rack samples</w:t>
            </w:r>
          </w:p>
        </w:tc>
        <w:tc>
          <w:p>
            <w:pPr>
              <w:pStyle w:val="Compact"/>
              <w:jc w:val="right"/>
            </w:pPr>
            <w:r>
              <w:t xml:space="preserve">170</w:t>
            </w:r>
          </w:p>
        </w:tc>
      </w:tr>
      <w:tr>
        <w:tc>
          <w:p>
            <w:pPr>
              <w:pStyle w:val="Compact"/>
              <w:jc w:val="left"/>
            </w:pPr>
            <w:r>
              <w:t xml:space="preserve">total</w:t>
            </w:r>
          </w:p>
        </w:tc>
        <w:tc>
          <w:p>
            <w:pPr>
              <w:pStyle w:val="Compact"/>
              <w:jc w:val="right"/>
            </w:pPr>
            <w:r>
              <w:t xml:space="preserve">399</w:t>
            </w:r>
          </w:p>
        </w:tc>
      </w:tr>
      <w:tr>
        <w:tc>
          <w:p>
            <w:pPr>
              <w:pStyle w:val="Compact"/>
              <w:jc w:val="left"/>
            </w:pPr>
          </w:p>
        </w:tc>
        <w:tc>
          <w:p/>
        </w:tc>
      </w:tr>
    </w:tbl>
    <w:p>
      <w:pPr>
        <w:pStyle w:val="BodyText"/>
      </w:pPr>
      <w:r>
        <w:t xml:space="preserve">Look at this picture:</w:t>
      </w:r>
    </w:p>
    <w:p>
      <w:pPr>
        <w:pStyle w:val="BodyText"/>
      </w:pPr>
      <w:r>
        <w:t xml:space="preserve"> </w:t>
      </w:r>
      <w:r>
        <w:drawing>
          <wp:inline>
            <wp:extent cx="3474720" cy="6648994"/>
            <wp:effectExtent b="0" l="0" r="0" t="0"/>
            <wp:docPr descr="Figure ###: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63"/>
                    <a:stretch>
                      <a:fillRect/>
                    </a:stretch>
                  </pic:blipFill>
                  <pic:spPr bwMode="auto">
                    <a:xfrm>
                      <a:off x="0" y="0"/>
                      <a:ext cx="3474720" cy="6648994"/>
                    </a:xfrm>
                    <a:prstGeom prst="rect">
                      <a:avLst/>
                    </a:prstGeom>
                    <a:noFill/>
                    <a:ln w="9525">
                      <a:noFill/>
                      <a:headEnd/>
                      <a:tailEnd/>
                    </a:ln>
                  </pic:spPr>
                </pic:pic>
              </a:graphicData>
            </a:graphic>
          </wp:inline>
        </w:drawing>
      </w:r>
      <w:r>
        <w:t xml:space="preserve"> </w:t>
      </w:r>
    </w:p>
    <w:p>
      <w:pPr>
        <w:pStyle w:val="Heading1"/>
      </w:pPr>
      <w:bookmarkStart w:id="64" w:name="discussion"/>
      <w:r>
        <w:t xml:space="preserve">Discussion</w:t>
      </w:r>
      <w:bookmarkEnd w:id="64"/>
    </w:p>
    <w:p>
      <w:pPr>
        <w:pStyle w:val="Heading1"/>
      </w:pPr>
      <w:bookmarkStart w:id="65" w:name="conclusions"/>
      <w:r>
        <w:t xml:space="preserve">Conclusions</w:t>
      </w:r>
      <w:bookmarkEnd w:id="65"/>
    </w:p>
    <w:p>
      <w:pPr>
        <w:pStyle w:val="FirstParagraph"/>
      </w:pPr>
      <w:r>
        <w:t xml:space="preserve">I did several things and will now discuss why they are good.</w:t>
      </w:r>
    </w:p>
    <w:p>
      <w:pPr>
        <w:pStyle w:val="Heading1"/>
      </w:pPr>
      <w:bookmarkStart w:id="66" w:name="references"/>
      <w:r>
        <w:t xml:space="preserve">References</w:t>
      </w:r>
      <w:bookmarkEnd w:id="66"/>
    </w:p>
    <w:bookmarkStart w:id="137" w:name="refs"/>
    <w:bookmarkStart w:id="6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67">
        <w:r>
          <w:rPr>
            <w:rStyle w:val="Hyperlink"/>
          </w:rPr>
          <w:t xml:space="preserve">https://doi.org/10.1111/ele.12897</w:t>
        </w:r>
      </w:hyperlink>
      <w:r>
        <w:t xml:space="preserve">.</w:t>
      </w:r>
    </w:p>
    <w:bookmarkEnd w:id="68"/>
    <w:bookmarkStart w:id="70"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69">
        <w:r>
          <w:rPr>
            <w:rStyle w:val="Hyperlink"/>
          </w:rPr>
          <w:t xml:space="preserve">https://doi.org/10.1021/es103992s</w:t>
        </w:r>
      </w:hyperlink>
      <w:r>
        <w:t xml:space="preserve">.</w:t>
      </w:r>
    </w:p>
    <w:bookmarkEnd w:id="70"/>
    <w:bookmarkStart w:id="72"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71">
        <w:r>
          <w:rPr>
            <w:rStyle w:val="Hyperlink"/>
          </w:rPr>
          <w:t xml:space="preserve">https://doi.org/10.1016/j.jhydrol.2014.05.060</w:t>
        </w:r>
      </w:hyperlink>
      <w:r>
        <w:t xml:space="preserve">.</w:t>
      </w:r>
    </w:p>
    <w:bookmarkEnd w:id="72"/>
    <w:bookmarkStart w:id="74" w:name="ref-BC2019"/>
    <w:p>
      <w:pPr>
        <w:pStyle w:val="Bibliography"/>
      </w:pPr>
      <w:r>
        <w:t xml:space="preserve">British Columbia Ministry of Environment. 2017. “Source Drinking Water Quality Guidelines: Guideline Summary.” Victoria, B.C.: Prov. B.C.</w:t>
      </w:r>
      <w:r>
        <w:t xml:space="preserve"> </w:t>
      </w:r>
      <w:hyperlink r:id="rId73">
        <w:r>
          <w:rPr>
            <w:rStyle w:val="Hyperlink"/>
          </w:rPr>
          <w:t xml:space="preserve">https://www2.gov.bc.ca/gov/content/governments/organizational-structure/ministries-organizations/ministries/environment-climate-change</w:t>
        </w:r>
      </w:hyperlink>
      <w:r>
        <w:t xml:space="preserve">.</w:t>
      </w:r>
    </w:p>
    <w:bookmarkEnd w:id="74"/>
    <w:bookmarkStart w:id="7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75">
        <w:r>
          <w:rPr>
            <w:rStyle w:val="Hyperlink"/>
          </w:rPr>
          <w:t xml:space="preserve">https://doi.org/10.2166/aqua.2008.064</w:t>
        </w:r>
      </w:hyperlink>
      <w:r>
        <w:t xml:space="preserve">.</w:t>
      </w:r>
    </w:p>
    <w:bookmarkEnd w:id="76"/>
    <w:bookmarkStart w:id="78"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77">
        <w:r>
          <w:rPr>
            <w:rStyle w:val="Hyperlink"/>
          </w:rPr>
          <w:t xml:space="preserve">https://doi.org/10.1139/cjfas-2014-0400</w:t>
        </w:r>
      </w:hyperlink>
      <w:r>
        <w:t xml:space="preserve">.</w:t>
      </w:r>
    </w:p>
    <w:bookmarkEnd w:id="78"/>
    <w:bookmarkStart w:id="80"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79">
        <w:r>
          <w:rPr>
            <w:rStyle w:val="Hyperlink"/>
          </w:rPr>
          <w:t xml:space="preserve">https://doi.org/10.1016/j.watres.2016.08.031</w:t>
        </w:r>
      </w:hyperlink>
      <w:r>
        <w:t xml:space="preserve">.</w:t>
      </w:r>
    </w:p>
    <w:bookmarkEnd w:id="80"/>
    <w:bookmarkStart w:id="82"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81">
        <w:r>
          <w:rPr>
            <w:rStyle w:val="Hyperlink"/>
          </w:rPr>
          <w:t xml:space="preserve">http://scholar.google.com/scholar?hl=en{\&amp;}btnG=Search{\&amp;}q=intitle:Running+Pure{\#}1</w:t>
        </w:r>
      </w:hyperlink>
      <w:r>
        <w:t xml:space="preserve">.</w:t>
      </w:r>
    </w:p>
    <w:bookmarkEnd w:id="82"/>
    <w:bookmarkStart w:id="84"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83">
        <w:r>
          <w:rPr>
            <w:rStyle w:val="Hyperlink"/>
          </w:rPr>
          <w:t xml:space="preserve">http://www.standardmethods.org/</w:t>
        </w:r>
      </w:hyperlink>
      <w:r>
        <w:t xml:space="preserve">.</w:t>
      </w:r>
    </w:p>
    <w:bookmarkEnd w:id="84"/>
    <w:bookmarkStart w:id="8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85">
        <w:r>
          <w:rPr>
            <w:rStyle w:val="Hyperlink"/>
          </w:rPr>
          <w:t xml:space="preserve">https://doi.org/10.3133/fs06700</w:t>
        </w:r>
      </w:hyperlink>
      <w:r>
        <w:t xml:space="preserve">.</w:t>
      </w:r>
    </w:p>
    <w:bookmarkEnd w:id="86"/>
    <w:bookmarkStart w:id="88" w:name="ref-HealthCanada2019"/>
    <w:p>
      <w:pPr>
        <w:pStyle w:val="Bibliography"/>
      </w:pPr>
      <w:r>
        <w:t xml:space="preserve">Health Canada. 2019. “Guidance on Natural Organic Matter in Drinking Water.”</w:t>
      </w:r>
      <w:r>
        <w:t xml:space="preserve"> </w:t>
      </w:r>
      <w:hyperlink r:id="rId87">
        <w:r>
          <w:rPr>
            <w:rStyle w:val="Hyperlink"/>
          </w:rPr>
          <w:t xml:space="preserve">https://www.canada.ca/content/dam/hc-sc/documents/programs/consultation-organic-matter-drinking-water/NOM20190129-eng.pdf</w:t>
        </w:r>
      </w:hyperlink>
      <w:r>
        <w:t xml:space="preserve">.</w:t>
      </w:r>
    </w:p>
    <w:bookmarkEnd w:id="88"/>
    <w:bookmarkStart w:id="90" w:name="ref-HealthCanada2006"/>
    <w:p>
      <w:pPr>
        <w:pStyle w:val="Bibliography"/>
      </w:pPr>
      <w:r>
        <w:t xml:space="preserve">HealthCanada. 2006. “Drinking Water Chlorination.”</w:t>
      </w:r>
      <w:r>
        <w:t xml:space="preserve"> </w:t>
      </w:r>
      <w:hyperlink r:id="rId89">
        <w:r>
          <w:rPr>
            <w:rStyle w:val="Hyperlink"/>
          </w:rPr>
          <w:t xml:space="preserve">https://www.canada.ca/en/health-canada/services/healthy-living/your-health/environment/drinking-water-chlorination.html</w:t>
        </w:r>
      </w:hyperlink>
      <w:r>
        <w:t xml:space="preserve">.</w:t>
      </w:r>
    </w:p>
    <w:bookmarkEnd w:id="90"/>
    <w:bookmarkStart w:id="92" w:name="ref-HealthLinkBC2018"/>
    <w:p>
      <w:pPr>
        <w:pStyle w:val="Bibliography"/>
      </w:pPr>
      <w:r>
        <w:t xml:space="preserve">HealthLinkBC. 2018. “Drinking Water Chlorination Facts.”</w:t>
      </w:r>
      <w:r>
        <w:t xml:space="preserve"> </w:t>
      </w:r>
      <w:hyperlink r:id="rId91">
        <w:r>
          <w:rPr>
            <w:rStyle w:val="Hyperlink"/>
          </w:rPr>
          <w:t xml:space="preserve">https://www.healthlinkbc.ca/healthlinkbc-files/drinking-water-chlorination</w:t>
        </w:r>
      </w:hyperlink>
      <w:r>
        <w:t xml:space="preserve">.</w:t>
      </w:r>
    </w:p>
    <w:bookmarkEnd w:id="92"/>
    <w:bookmarkStart w:id="94"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93">
        <w:r>
          <w:rPr>
            <w:rStyle w:val="Hyperlink"/>
          </w:rPr>
          <w:t xml:space="preserve">https://www.jstor.org/stable/40058211</w:t>
        </w:r>
      </w:hyperlink>
      <w:r>
        <w:t xml:space="preserve">.</w:t>
      </w:r>
    </w:p>
    <w:bookmarkEnd w:id="94"/>
    <w:bookmarkStart w:id="96"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95">
        <w:r>
          <w:rPr>
            <w:rStyle w:val="Hyperlink"/>
          </w:rPr>
          <w:t xml:space="preserve">https://doi.org/10.1016/j.chemosphere.2015.03.039</w:t>
        </w:r>
      </w:hyperlink>
      <w:r>
        <w:t xml:space="preserve">.</w:t>
      </w:r>
    </w:p>
    <w:bookmarkEnd w:id="96"/>
    <w:bookmarkStart w:id="98"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97">
        <w:r>
          <w:rPr>
            <w:rStyle w:val="Hyperlink"/>
          </w:rPr>
          <w:t xml:space="preserve">https://doi.org/doi:10.1046/j.1365-2427.1997.d01-539.x</w:t>
        </w:r>
      </w:hyperlink>
      <w:r>
        <w:t xml:space="preserve">.</w:t>
      </w:r>
    </w:p>
    <w:bookmarkEnd w:id="98"/>
    <w:bookmarkStart w:id="100"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99">
        <w:r>
          <w:rPr>
            <w:rStyle w:val="Hyperlink"/>
          </w:rPr>
          <w:t xml:space="preserve">https://archive.org/details/metaltransportre00lazeuoft/mode/2up</w:t>
        </w:r>
      </w:hyperlink>
      <w:r>
        <w:t xml:space="preserve">.</w:t>
      </w:r>
    </w:p>
    <w:bookmarkEnd w:id="100"/>
    <w:bookmarkStart w:id="102"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01">
        <w:r>
          <w:rPr>
            <w:rStyle w:val="Hyperlink"/>
          </w:rPr>
          <w:t xml:space="preserve">https://doi.org/10.1016/j.jhazmat.2014.02.009</w:t>
        </w:r>
      </w:hyperlink>
      <w:r>
        <w:t xml:space="preserve">.</w:t>
      </w:r>
    </w:p>
    <w:bookmarkEnd w:id="102"/>
    <w:bookmarkStart w:id="104"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03">
        <w:r>
          <w:rPr>
            <w:rStyle w:val="Hyperlink"/>
          </w:rPr>
          <w:t xml:space="preserve">https://doi.org/10.1016/j.chemosphere.2011.01.018</w:t>
        </w:r>
      </w:hyperlink>
      <w:r>
        <w:t xml:space="preserve">.</w:t>
      </w:r>
    </w:p>
    <w:bookmarkEnd w:id="104"/>
    <w:bookmarkStart w:id="106" w:name="ref-Meyer1983"/>
    <w:p>
      <w:pPr>
        <w:pStyle w:val="Bibliography"/>
      </w:pPr>
      <w:r>
        <w:t xml:space="preserve">Meyer, Judy L., and Cathy M . Tate. 1983. “The Effects of Watershed Disturbance on Dissolved Organic Carbon Dynamics of a Stream Author.”</w:t>
      </w:r>
      <w:r>
        <w:t xml:space="preserve"> </w:t>
      </w:r>
      <w:r>
        <w:rPr>
          <w:i/>
        </w:rPr>
        <w:t xml:space="preserve">Ecology</w:t>
      </w:r>
      <w:r>
        <w:t xml:space="preserve"> </w:t>
      </w:r>
      <w:r>
        <w:t xml:space="preserve">64 (1): 33–44.</w:t>
      </w:r>
      <w:r>
        <w:t xml:space="preserve"> </w:t>
      </w:r>
      <w:hyperlink r:id="rId105">
        <w:r>
          <w:rPr>
            <w:rStyle w:val="Hyperlink"/>
          </w:rPr>
          <w:t xml:space="preserve">https://www.jstor.org/stable/1937326</w:t>
        </w:r>
      </w:hyperlink>
      <w:r>
        <w:t xml:space="preserve">.</w:t>
      </w:r>
    </w:p>
    <w:bookmarkEnd w:id="106"/>
    <w:bookmarkStart w:id="107"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07"/>
    <w:bookmarkStart w:id="10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08">
        <w:r>
          <w:rPr>
            <w:rStyle w:val="Hyperlink"/>
          </w:rPr>
          <w:t xml:space="preserve">https://doi.org/10.1007/s10533-015-0103-6</w:t>
        </w:r>
      </w:hyperlink>
      <w:r>
        <w:t xml:space="preserve">.</w:t>
      </w:r>
    </w:p>
    <w:bookmarkEnd w:id="109"/>
    <w:bookmarkStart w:id="111"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10">
        <w:r>
          <w:rPr>
            <w:rStyle w:val="Hyperlink"/>
          </w:rPr>
          <w:t xml:space="preserve">https://doi.org/10.5194/bg-10-2315-2013</w:t>
        </w:r>
      </w:hyperlink>
      <w:r>
        <w:t xml:space="preserve">.</w:t>
      </w:r>
    </w:p>
    <w:bookmarkEnd w:id="111"/>
    <w:bookmarkStart w:id="113"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12">
        <w:r>
          <w:rPr>
            <w:rStyle w:val="Hyperlink"/>
          </w:rPr>
          <w:t xml:space="preserve">https://doi.org/10.1007/s11270-013-1651-9</w:t>
        </w:r>
      </w:hyperlink>
      <w:r>
        <w:t xml:space="preserve">.</w:t>
      </w:r>
    </w:p>
    <w:bookmarkEnd w:id="113"/>
    <w:bookmarkStart w:id="115"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14">
        <w:r>
          <w:rPr>
            <w:rStyle w:val="Hyperlink"/>
          </w:rPr>
          <w:t xml:space="preserve">https://doi.org/10.1016/S0003-2670(96)00412-6</w:t>
        </w:r>
      </w:hyperlink>
      <w:r>
        <w:t xml:space="preserve">.</w:t>
      </w:r>
    </w:p>
    <w:bookmarkEnd w:id="115"/>
    <w:bookmarkStart w:id="117"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16">
        <w:r>
          <w:rPr>
            <w:rStyle w:val="Hyperlink"/>
          </w:rPr>
          <w:t xml:space="preserve">https://www.for.gov.bc.ca/hfd/pubs/docs/lmh/Lmh66/LMH66{\_}volume2of2.pdf</w:t>
        </w:r>
      </w:hyperlink>
      <w:r>
        <w:t xml:space="preserve">.</w:t>
      </w:r>
    </w:p>
    <w:bookmarkEnd w:id="117"/>
    <w:bookmarkStart w:id="118"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18"/>
    <w:bookmarkStart w:id="120"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19">
        <w:r>
          <w:rPr>
            <w:rStyle w:val="Hyperlink"/>
          </w:rPr>
          <w:t xml:space="preserve">https://doi.org/10.1007/sl0533-010-9416-7</w:t>
        </w:r>
      </w:hyperlink>
      <w:r>
        <w:t xml:space="preserve">.</w:t>
      </w:r>
    </w:p>
    <w:bookmarkEnd w:id="120"/>
    <w:bookmarkStart w:id="122"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21">
        <w:r>
          <w:rPr>
            <w:rStyle w:val="Hyperlink"/>
          </w:rPr>
          <w:t xml:space="preserve">https://www.jstor.org/stable/24702986</w:t>
        </w:r>
      </w:hyperlink>
      <w:r>
        <w:t xml:space="preserve">.</w:t>
      </w:r>
    </w:p>
    <w:bookmarkEnd w:id="122"/>
    <w:bookmarkStart w:id="124"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23">
        <w:r>
          <w:rPr>
            <w:rStyle w:val="Hyperlink"/>
          </w:rPr>
          <w:t xml:space="preserve">https://doi.org/10.1016/j.mrrev.2007.09.001</w:t>
        </w:r>
      </w:hyperlink>
      <w:r>
        <w:t xml:space="preserve">.</w:t>
      </w:r>
    </w:p>
    <w:bookmarkEnd w:id="124"/>
    <w:bookmarkStart w:id="126"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25">
        <w:r>
          <w:rPr>
            <w:rStyle w:val="Hyperlink"/>
          </w:rPr>
          <w:t xml:space="preserve">https://doi.org/10.1111/j.1365-2427.2011.02613.x</w:t>
        </w:r>
      </w:hyperlink>
      <w:r>
        <w:t xml:space="preserve">.</w:t>
      </w:r>
    </w:p>
    <w:bookmarkEnd w:id="126"/>
    <w:bookmarkStart w:id="127"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27"/>
    <w:bookmarkStart w:id="128"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28"/>
    <w:bookmarkStart w:id="130"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29">
        <w:r>
          <w:rPr>
            <w:rStyle w:val="Hyperlink"/>
          </w:rPr>
          <w:t xml:space="preserve">https://doi.org/10.1007/s10533-008-9207-6</w:t>
        </w:r>
      </w:hyperlink>
      <w:r>
        <w:t xml:space="preserve">.</w:t>
      </w:r>
    </w:p>
    <w:bookmarkEnd w:id="130"/>
    <w:bookmarkStart w:id="132"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31">
        <w:r>
          <w:rPr>
            <w:rStyle w:val="Hyperlink"/>
          </w:rPr>
          <w:t xml:space="preserve">https://doi.org/10.1021/es030360x</w:t>
        </w:r>
      </w:hyperlink>
      <w:r>
        <w:t xml:space="preserve">.</w:t>
      </w:r>
    </w:p>
    <w:bookmarkEnd w:id="132"/>
    <w:bookmarkStart w:id="134"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33">
        <w:r>
          <w:rPr>
            <w:rStyle w:val="Hyperlink"/>
          </w:rPr>
          <w:t xml:space="preserve">https://doi.org/10.1007/s11356-015-4078-6</w:t>
        </w:r>
      </w:hyperlink>
      <w:r>
        <w:t xml:space="preserve">.</w:t>
      </w:r>
    </w:p>
    <w:bookmarkEnd w:id="134"/>
    <w:bookmarkStart w:id="136"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35">
        <w:r>
          <w:rPr>
            <w:rStyle w:val="Hyperlink"/>
          </w:rPr>
          <w:t xml:space="preserve">https://doi.org/10.1029/2018GL080005</w:t>
        </w:r>
      </w:hyperlink>
      <w:r>
        <w:t xml:space="preserve">.</w:t>
      </w:r>
    </w:p>
    <w:bookmarkEnd w:id="136"/>
    <w:bookmarkEnd w:id="137"/>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871189">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5E559B" w:rsidP="0087118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71189"/>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871189"/>
    <w:pPr>
      <w:keepNext/>
      <w:keepLines/>
      <w:spacing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871189"/>
    <w:pPr>
      <w:keepNext/>
      <w:keepLines/>
      <w:spacing w:after="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871189"/>
    <w:pPr>
      <w:spacing w:after="240"/>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871189"/>
    <w:rPr>
      <w:rFonts w:ascii="Segoe UI" w:eastAsiaTheme="majorEastAsia" w:hAnsi="Segoe UI" w:cs="Segoe UI"/>
      <w:b/>
      <w:szCs w:val="28"/>
    </w:rPr>
  </w:style>
  <w:style w:type="character" w:customStyle="1" w:styleId="Heading4Char">
    <w:name w:val="Heading 4 Char"/>
    <w:basedOn w:val="DefaultParagraphFont"/>
    <w:link w:val="Heading4"/>
    <w:uiPriority w:val="9"/>
    <w:rsid w:val="00871189"/>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871189"/>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BC3B16"/>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63" Target="media/rId63.png" /><Relationship Type="http://schemas.openxmlformats.org/officeDocument/2006/relationships/image" Id="rId46" Target="media/rId46.jp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48" Target="http://odysseydatarecording.com/index.php?route=product/product&amp;product_id=50" TargetMode="External" /><Relationship Type="http://schemas.openxmlformats.org/officeDocument/2006/relationships/hyperlink" Id="rId81"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83" Target="http://www.standardmethods.org/" TargetMode="External" /><Relationship Type="http://schemas.openxmlformats.org/officeDocument/2006/relationships/hyperlink" Id="rId99" Target="https://archive.org/details/metaltransportre00lazeuoft/mode/2up" TargetMode="External" /><Relationship Type="http://schemas.openxmlformats.org/officeDocument/2006/relationships/hyperlink" Id="rId129" Target="https://doi.org/10.1007/s10533-008-9207-6" TargetMode="External" /><Relationship Type="http://schemas.openxmlformats.org/officeDocument/2006/relationships/hyperlink" Id="rId108" Target="https://doi.org/10.1007/s10533-015-0103-6" TargetMode="External" /><Relationship Type="http://schemas.openxmlformats.org/officeDocument/2006/relationships/hyperlink" Id="rId112" Target="https://doi.org/10.1007/s11270-013-1651-9" TargetMode="External" /><Relationship Type="http://schemas.openxmlformats.org/officeDocument/2006/relationships/hyperlink" Id="rId133" Target="https://doi.org/10.1007/s11356-015-4078-6" TargetMode="External" /><Relationship Type="http://schemas.openxmlformats.org/officeDocument/2006/relationships/hyperlink" Id="rId119" Target="https://doi.org/10.1007/sl0533-010-9416-7" TargetMode="External" /><Relationship Type="http://schemas.openxmlformats.org/officeDocument/2006/relationships/hyperlink" Id="rId114" Target="https://doi.org/10.1016/S0003-2670(96)00412-6" TargetMode="External" /><Relationship Type="http://schemas.openxmlformats.org/officeDocument/2006/relationships/hyperlink" Id="rId103" Target="https://doi.org/10.1016/j.chemosphere.2011.01.018" TargetMode="External" /><Relationship Type="http://schemas.openxmlformats.org/officeDocument/2006/relationships/hyperlink" Id="rId95" Target="https://doi.org/10.1016/j.chemosphere.2015.03.039" TargetMode="External" /><Relationship Type="http://schemas.openxmlformats.org/officeDocument/2006/relationships/hyperlink" Id="rId101" Target="https://doi.org/10.1016/j.jhazmat.2014.02.009" TargetMode="External" /><Relationship Type="http://schemas.openxmlformats.org/officeDocument/2006/relationships/hyperlink" Id="rId71" Target="https://doi.org/10.1016/j.jhydrol.2014.05.060" TargetMode="External" /><Relationship Type="http://schemas.openxmlformats.org/officeDocument/2006/relationships/hyperlink" Id="rId123" Target="https://doi.org/10.1016/j.mrrev.2007.09.001" TargetMode="External" /><Relationship Type="http://schemas.openxmlformats.org/officeDocument/2006/relationships/hyperlink" Id="rId79" Target="https://doi.org/10.1016/j.watres.2016.08.031" TargetMode="External" /><Relationship Type="http://schemas.openxmlformats.org/officeDocument/2006/relationships/hyperlink" Id="rId131" Target="https://doi.org/10.1021/es030360x" TargetMode="External" /><Relationship Type="http://schemas.openxmlformats.org/officeDocument/2006/relationships/hyperlink" Id="rId69" Target="https://doi.org/10.1021/es103992s" TargetMode="External" /><Relationship Type="http://schemas.openxmlformats.org/officeDocument/2006/relationships/hyperlink" Id="rId135" Target="https://doi.org/10.1029/2018GL080005" TargetMode="External" /><Relationship Type="http://schemas.openxmlformats.org/officeDocument/2006/relationships/hyperlink" Id="rId67" Target="https://doi.org/10.1111/ele.12897" TargetMode="External" /><Relationship Type="http://schemas.openxmlformats.org/officeDocument/2006/relationships/hyperlink" Id="rId125" Target="https://doi.org/10.1111/j.1365-2427.2011.02613.x" TargetMode="External" /><Relationship Type="http://schemas.openxmlformats.org/officeDocument/2006/relationships/hyperlink" Id="rId77" Target="https://doi.org/10.1139/cjfas-2014-0400" TargetMode="External" /><Relationship Type="http://schemas.openxmlformats.org/officeDocument/2006/relationships/hyperlink" Id="rId75" Target="https://doi.org/10.2166/aqua.2008.064" TargetMode="External" /><Relationship Type="http://schemas.openxmlformats.org/officeDocument/2006/relationships/hyperlink" Id="rId85" Target="https://doi.org/10.3133/fs06700" TargetMode="External" /><Relationship Type="http://schemas.openxmlformats.org/officeDocument/2006/relationships/hyperlink" Id="rId110" Target="https://doi.org/10.5194/bg-10-2315-2013" TargetMode="External" /><Relationship Type="http://schemas.openxmlformats.org/officeDocument/2006/relationships/hyperlink" Id="rId97" Target="https://doi.org/doi:10.1046/j.1365-2427.1997.d01-539.x" TargetMode="External" /><Relationship Type="http://schemas.openxmlformats.org/officeDocument/2006/relationships/hyperlink" Id="rId87" Target="https://www.canada.ca/content/dam/hc-sc/documents/programs/consultation-organic-matter-drinking-water/NOM20190129-eng.pdf" TargetMode="External" /><Relationship Type="http://schemas.openxmlformats.org/officeDocument/2006/relationships/hyperlink" Id="rId89" Target="https://www.canada.ca/en/health-canada/services/healthy-living/your-health/environment/drinking-water-chlorination.html" TargetMode="External" /><Relationship Type="http://schemas.openxmlformats.org/officeDocument/2006/relationships/hyperlink" Id="rId11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91" Target="https://www.healthlinkbc.ca/healthlinkbc-files/drinking-water-chlorination" TargetMode="External" /><Relationship Type="http://schemas.openxmlformats.org/officeDocument/2006/relationships/hyperlink" Id="rId105" Target="https://www.jstor.org/stable/1937326" TargetMode="External" /><Relationship Type="http://schemas.openxmlformats.org/officeDocument/2006/relationships/hyperlink" Id="rId121" Target="https://www.jstor.org/stable/24702986" TargetMode="External" /><Relationship Type="http://schemas.openxmlformats.org/officeDocument/2006/relationships/hyperlink" Id="rId93" Target="https://www.jstor.org/stable/40058211" TargetMode="External" /><Relationship Type="http://schemas.openxmlformats.org/officeDocument/2006/relationships/hyperlink" Id="rId73"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8" Target="http://odysseydatarecording.com/index.php?route=product/product&amp;product_id=50" TargetMode="External" /><Relationship Type="http://schemas.openxmlformats.org/officeDocument/2006/relationships/hyperlink" Id="rId81"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83" Target="http://www.standardmethods.org/" TargetMode="External" /><Relationship Type="http://schemas.openxmlformats.org/officeDocument/2006/relationships/hyperlink" Id="rId99" Target="https://archive.org/details/metaltransportre00lazeuoft/mode/2up" TargetMode="External" /><Relationship Type="http://schemas.openxmlformats.org/officeDocument/2006/relationships/hyperlink" Id="rId129" Target="https://doi.org/10.1007/s10533-008-9207-6" TargetMode="External" /><Relationship Type="http://schemas.openxmlformats.org/officeDocument/2006/relationships/hyperlink" Id="rId108" Target="https://doi.org/10.1007/s10533-015-0103-6" TargetMode="External" /><Relationship Type="http://schemas.openxmlformats.org/officeDocument/2006/relationships/hyperlink" Id="rId112" Target="https://doi.org/10.1007/s11270-013-1651-9" TargetMode="External" /><Relationship Type="http://schemas.openxmlformats.org/officeDocument/2006/relationships/hyperlink" Id="rId133" Target="https://doi.org/10.1007/s11356-015-4078-6" TargetMode="External" /><Relationship Type="http://schemas.openxmlformats.org/officeDocument/2006/relationships/hyperlink" Id="rId119" Target="https://doi.org/10.1007/sl0533-010-9416-7" TargetMode="External" /><Relationship Type="http://schemas.openxmlformats.org/officeDocument/2006/relationships/hyperlink" Id="rId114" Target="https://doi.org/10.1016/S0003-2670(96)00412-6" TargetMode="External" /><Relationship Type="http://schemas.openxmlformats.org/officeDocument/2006/relationships/hyperlink" Id="rId103" Target="https://doi.org/10.1016/j.chemosphere.2011.01.018" TargetMode="External" /><Relationship Type="http://schemas.openxmlformats.org/officeDocument/2006/relationships/hyperlink" Id="rId95" Target="https://doi.org/10.1016/j.chemosphere.2015.03.039" TargetMode="External" /><Relationship Type="http://schemas.openxmlformats.org/officeDocument/2006/relationships/hyperlink" Id="rId101" Target="https://doi.org/10.1016/j.jhazmat.2014.02.009" TargetMode="External" /><Relationship Type="http://schemas.openxmlformats.org/officeDocument/2006/relationships/hyperlink" Id="rId71" Target="https://doi.org/10.1016/j.jhydrol.2014.05.060" TargetMode="External" /><Relationship Type="http://schemas.openxmlformats.org/officeDocument/2006/relationships/hyperlink" Id="rId123" Target="https://doi.org/10.1016/j.mrrev.2007.09.001" TargetMode="External" /><Relationship Type="http://schemas.openxmlformats.org/officeDocument/2006/relationships/hyperlink" Id="rId79" Target="https://doi.org/10.1016/j.watres.2016.08.031" TargetMode="External" /><Relationship Type="http://schemas.openxmlformats.org/officeDocument/2006/relationships/hyperlink" Id="rId131" Target="https://doi.org/10.1021/es030360x" TargetMode="External" /><Relationship Type="http://schemas.openxmlformats.org/officeDocument/2006/relationships/hyperlink" Id="rId69" Target="https://doi.org/10.1021/es103992s" TargetMode="External" /><Relationship Type="http://schemas.openxmlformats.org/officeDocument/2006/relationships/hyperlink" Id="rId135" Target="https://doi.org/10.1029/2018GL080005" TargetMode="External" /><Relationship Type="http://schemas.openxmlformats.org/officeDocument/2006/relationships/hyperlink" Id="rId67" Target="https://doi.org/10.1111/ele.12897" TargetMode="External" /><Relationship Type="http://schemas.openxmlformats.org/officeDocument/2006/relationships/hyperlink" Id="rId125" Target="https://doi.org/10.1111/j.1365-2427.2011.02613.x" TargetMode="External" /><Relationship Type="http://schemas.openxmlformats.org/officeDocument/2006/relationships/hyperlink" Id="rId77" Target="https://doi.org/10.1139/cjfas-2014-0400" TargetMode="External" /><Relationship Type="http://schemas.openxmlformats.org/officeDocument/2006/relationships/hyperlink" Id="rId75" Target="https://doi.org/10.2166/aqua.2008.064" TargetMode="External" /><Relationship Type="http://schemas.openxmlformats.org/officeDocument/2006/relationships/hyperlink" Id="rId85" Target="https://doi.org/10.3133/fs06700" TargetMode="External" /><Relationship Type="http://schemas.openxmlformats.org/officeDocument/2006/relationships/hyperlink" Id="rId110" Target="https://doi.org/10.5194/bg-10-2315-2013" TargetMode="External" /><Relationship Type="http://schemas.openxmlformats.org/officeDocument/2006/relationships/hyperlink" Id="rId97" Target="https://doi.org/doi:10.1046/j.1365-2427.1997.d01-539.x" TargetMode="External" /><Relationship Type="http://schemas.openxmlformats.org/officeDocument/2006/relationships/hyperlink" Id="rId87" Target="https://www.canada.ca/content/dam/hc-sc/documents/programs/consultation-organic-matter-drinking-water/NOM20190129-eng.pdf" TargetMode="External" /><Relationship Type="http://schemas.openxmlformats.org/officeDocument/2006/relationships/hyperlink" Id="rId89" Target="https://www.canada.ca/en/health-canada/services/healthy-living/your-health/environment/drinking-water-chlorination.html" TargetMode="External" /><Relationship Type="http://schemas.openxmlformats.org/officeDocument/2006/relationships/hyperlink" Id="rId11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91" Target="https://www.healthlinkbc.ca/healthlinkbc-files/drinking-water-chlorination" TargetMode="External" /><Relationship Type="http://schemas.openxmlformats.org/officeDocument/2006/relationships/hyperlink" Id="rId105" Target="https://www.jstor.org/stable/1937326" TargetMode="External" /><Relationship Type="http://schemas.openxmlformats.org/officeDocument/2006/relationships/hyperlink" Id="rId121" Target="https://www.jstor.org/stable/24702986" TargetMode="External" /><Relationship Type="http://schemas.openxmlformats.org/officeDocument/2006/relationships/hyperlink" Id="rId93" Target="https://www.jstor.org/stable/40058211" TargetMode="External" /><Relationship Type="http://schemas.openxmlformats.org/officeDocument/2006/relationships/hyperlink" Id="rId73"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Pages>
  <Words>82</Words>
  <Characters>469</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2020-03-03T03:26:12Z</dcterms:created>
  <dcterms:modified xsi:type="dcterms:W3CDTF">2020-03-03T03:26:12Z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